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附件4</w:t>
      </w:r>
    </w:p>
    <w:p>
      <w:pPr>
        <w:keepNext w:val="0"/>
        <w:keepLines w:val="0"/>
        <w:widowControl/>
        <w:suppressLineNumbers w:val="0"/>
        <w:jc w:val="center"/>
        <w:rPr>
          <w:rFonts w:hint="eastAsia" w:ascii="华文中宋" w:hAnsi="华文中宋" w:eastAsia="华文中宋" w:cs="华文中宋"/>
          <w:color w:val="000000"/>
          <w:kern w:val="0"/>
          <w:sz w:val="43"/>
          <w:szCs w:val="43"/>
          <w:highlight w:val="none"/>
          <w:lang w:val="en-US" w:eastAsia="zh-CN" w:bidi="ar"/>
        </w:rPr>
      </w:pPr>
      <w:r>
        <w:rPr>
          <w:rFonts w:hint="eastAsia" w:ascii="方正小标宋_GBK" w:hAnsi="方正小标宋_GBK" w:eastAsia="方正小标宋_GBK" w:cs="方正小标宋_GBK"/>
          <w:b w:val="0"/>
          <w:bCs w:val="0"/>
          <w:sz w:val="44"/>
          <w:szCs w:val="44"/>
          <w:lang w:val="en-US" w:eastAsia="zh-CN"/>
        </w:rPr>
        <w:t>教学部2024年绩效考核业务性指标（思政部）</w:t>
      </w:r>
    </w:p>
    <w:tbl>
      <w:tblPr>
        <w:tblStyle w:val="4"/>
        <w:tblW w:w="13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910"/>
        <w:gridCol w:w="8184"/>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21"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考核内容</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考核要点</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考核标准</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考核牵头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0" w:hRule="atLeast"/>
          <w:jc w:val="center"/>
        </w:trPr>
        <w:tc>
          <w:tcPr>
            <w:tcW w:w="1521" w:type="dxa"/>
            <w:vMerge w:val="restart"/>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1.教学工作</w:t>
            </w:r>
          </w:p>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（30分）</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教学任务</w:t>
            </w:r>
          </w:p>
          <w:p>
            <w:pPr>
              <w:numPr>
                <w:ilvl w:val="0"/>
                <w:numId w:val="0"/>
              </w:numPr>
              <w:ind w:left="0" w:leftChars="0" w:firstLine="0" w:firstLineChars="0"/>
              <w:jc w:val="center"/>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sz w:val="24"/>
                <w:highlight w:val="none"/>
                <w:lang w:val="en-US" w:eastAsia="zh-CN"/>
              </w:rPr>
              <w:t>（18分）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left"/>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sz w:val="24"/>
                <w:highlight w:val="none"/>
                <w:lang w:val="en-US" w:eastAsia="zh-CN"/>
              </w:rPr>
              <w:t>1.使用马克思主义理论研究和建设工程统编的最新版思政课教材。使用中央宣传部、教育部等组织制作的思政课统一课件、讲义、教学辅导用书、教学视频等资料；（2分）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2.确保课程排布的合理性，思政课各门课程有序衔接，晚间和周末不安排思政课必修课，避免教师周课时安排过于集中；（2分）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3.做好教务系统数据维护工作；（2分）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4.建立健全思政课教师岗前培训与试讲制度、集体备课制度、听课互评制度、集中命题制度等。集体备课要聚焦说课、评课、磨课，注重实效，防止形式主义，教研室教研活动每学期不少于5次，集体备课不少于3次；（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5.重视教学检查，各阶段教学检查材料完备，全年无教学事故；（2分）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6.严格控制调课次数，全年不能超过8次（因学校统一活动的调课情况除外）；（2分）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7.部门主任按要求听课，督促教学，听课范围全覆盖，保证每学期听课记录不少于6位教师。其中外聘或兼职教师听课记录不少于总数的30％；（2分）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8.按时提交教师课时统计表，保证提交数据准确；（2分）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9.按照教学计划提交考试方案，按系统排考执行考试。按时提交成绩（含补考成绩），确保成绩准确。（2分）</w:t>
            </w:r>
          </w:p>
        </w:tc>
        <w:tc>
          <w:tcPr>
            <w:tcW w:w="1626" w:type="dxa"/>
            <w:vMerge w:val="restart"/>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52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教师比赛</w:t>
            </w:r>
          </w:p>
          <w:p>
            <w:pPr>
              <w:numPr>
                <w:ilvl w:val="0"/>
                <w:numId w:val="0"/>
              </w:numPr>
              <w:ind w:left="0" w:leftChars="0" w:firstLine="0" w:firstLineChars="0"/>
              <w:jc w:val="center"/>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sz w:val="24"/>
                <w:highlight w:val="none"/>
                <w:lang w:val="en-US" w:eastAsia="zh-CN"/>
              </w:rPr>
              <w:t>（2分）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1.国家级教学能力大赛一等奖（2分），国家级教学能力大赛二等奖（1.6分），国家级教学能力大赛三等奖；（1.2分）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2.省级教学能力大赛一等奖（1分），省级教学能力大赛二等奖（0.8分），省级教学能力大赛三等奖；（0.6分）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3.校级教学能力大赛一等奖。（0.5分）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（其他类比赛参照教学能力大赛相应等级执行）</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jc w:val="center"/>
        </w:trPr>
        <w:tc>
          <w:tcPr>
            <w:tcW w:w="152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社会服务与社会影响</w:t>
            </w:r>
          </w:p>
          <w:p>
            <w:pPr>
              <w:numPr>
                <w:ilvl w:val="0"/>
                <w:numId w:val="0"/>
              </w:numPr>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（3分）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1.组织思政课教师围绕国家大政方针和地方经济社会发展的重大问题和重要实践，以及思政课改革创新、马克思主义学院高质量发展等重要方向，开展调查研究和政策研究，撰写研究报告，提高咨政服务能力；（1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2.思政课教师参与各级党政部门重要文件、工作报告等起草工作，参与企事业单位决策咨询；（1分）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3.思政课教师参加各级各类宣讲团，大力宣传阐释新时代党的创新理论和党中央重大决策部署；（0.5分）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4.思政课教师在主流媒体刊发有影响的理论文章，创作通俗理论读物、音像作品，参加各类媒体政论节目，弘扬主旋律，传播正能量，抵制和批判各种错误思潮。（0.5分）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2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实践与调研</w:t>
            </w:r>
          </w:p>
          <w:p>
            <w:pPr>
              <w:numPr>
                <w:ilvl w:val="0"/>
                <w:numId w:val="0"/>
              </w:numPr>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（3分）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统筹好思政课各门课程的实践教学，突出思政教师的引领主导作用；加强校内外多方联动，结合志愿服务、理论宣讲、社会调研等开展多样化的思政课实践教学。（3分）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2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教师研学进修培训</w:t>
            </w:r>
          </w:p>
          <w:p>
            <w:pPr>
              <w:numPr>
                <w:ilvl w:val="0"/>
                <w:numId w:val="0"/>
              </w:numPr>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（4分）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1.按照政治要强、情怀要深、思维要新、视野要广、自律要严、人格要正的要求，建设思政教师骨干梯队，着力培养优秀青年思政教师；（2分）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2.组织思政课教师参加各级省、市教育部门、专业培训机构组织的示范培训。</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每年对全体思政课教师至少进行 1 次轮训。（2分）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21"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2.产学合作工作</w:t>
            </w:r>
          </w:p>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（20分）</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线上课程</w:t>
            </w:r>
          </w:p>
          <w:p>
            <w:pPr>
              <w:numPr>
                <w:ilvl w:val="0"/>
                <w:numId w:val="0"/>
              </w:numPr>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（5分）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Chars="0"/>
              <w:jc w:val="left"/>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kern w:val="2"/>
                <w:sz w:val="24"/>
                <w:szCs w:val="24"/>
                <w:highlight w:val="none"/>
                <w:lang w:val="en-US" w:eastAsia="zh-CN" w:bidi="ar-SA"/>
              </w:rPr>
              <w:t>1.建立并运行1门课程</w:t>
            </w:r>
            <w:r>
              <w:rPr>
                <w:rFonts w:hint="eastAsia" w:ascii="仿宋_GB2312" w:hAnsi="仿宋_GB2312" w:eastAsia="仿宋_GB2312" w:cs="仿宋_GB2312"/>
                <w:color w:val="000000"/>
                <w:sz w:val="24"/>
                <w:highlight w:val="none"/>
                <w:lang w:val="en-US" w:eastAsia="zh-CN"/>
              </w:rPr>
              <w:t>;</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1</w:t>
            </w:r>
            <w:r>
              <w:rPr>
                <w:rFonts w:hint="eastAsia" w:ascii="仿宋_GB2312" w:hAnsi="仿宋_GB2312" w:eastAsia="仿宋_GB2312" w:cs="仿宋_GB2312"/>
                <w:color w:val="000000"/>
                <w:sz w:val="24"/>
                <w:highlight w:val="none"/>
              </w:rPr>
              <w:t>分）</w:t>
            </w:r>
          </w:p>
          <w:p>
            <w:pPr>
              <w:numPr>
                <w:ilvl w:val="0"/>
                <w:numId w:val="0"/>
              </w:numPr>
              <w:ind w:lef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2.建设完成并运行使用并获得</w:t>
            </w:r>
            <w:r>
              <w:rPr>
                <w:rFonts w:hint="eastAsia" w:ascii="仿宋_GB2312" w:hAnsi="仿宋_GB2312" w:eastAsia="仿宋_GB2312" w:cs="仿宋_GB2312"/>
                <w:sz w:val="24"/>
                <w:highlight w:val="none"/>
                <w:lang w:val="en-US" w:eastAsia="zh-CN"/>
              </w:rPr>
              <w:t>省级精品课认定;（3分）</w:t>
            </w:r>
          </w:p>
          <w:p>
            <w:pPr>
              <w:numPr>
                <w:ilvl w:val="0"/>
                <w:numId w:val="0"/>
              </w:numPr>
              <w:ind w:lef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3.建设完成并运行使用并获得</w:t>
            </w:r>
            <w:r>
              <w:rPr>
                <w:rFonts w:hint="eastAsia" w:ascii="仿宋_GB2312" w:hAnsi="仿宋_GB2312" w:eastAsia="仿宋_GB2312" w:cs="仿宋_GB2312"/>
                <w:sz w:val="24"/>
                <w:highlight w:val="none"/>
                <w:lang w:val="en-US" w:eastAsia="zh-CN"/>
              </w:rPr>
              <w:t>国家级精品课认定。（5分）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152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纵向课题</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（5分）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jc w:val="left"/>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w:t>
            </w:r>
            <w:r>
              <w:rPr>
                <w:rFonts w:hint="eastAsia" w:ascii="仿宋_GB2312" w:hAnsi="仿宋_GB2312" w:eastAsia="仿宋_GB2312" w:cs="仿宋_GB2312"/>
                <w:color w:val="000000"/>
                <w:sz w:val="24"/>
                <w:highlight w:val="none"/>
              </w:rPr>
              <w:t>市级课题结项</w:t>
            </w:r>
            <w:r>
              <w:rPr>
                <w:rFonts w:hint="eastAsia" w:ascii="仿宋_GB2312" w:hAnsi="仿宋_GB2312" w:eastAsia="仿宋_GB2312" w:cs="仿宋_GB2312"/>
                <w:color w:val="000000"/>
                <w:sz w:val="24"/>
                <w:highlight w:val="none"/>
                <w:lang w:val="en-US" w:eastAsia="zh-CN"/>
              </w:rPr>
              <w:t>;</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1</w:t>
            </w:r>
            <w:r>
              <w:rPr>
                <w:rFonts w:hint="eastAsia" w:ascii="仿宋_GB2312" w:hAnsi="仿宋_GB2312" w:eastAsia="仿宋_GB2312" w:cs="仿宋_GB2312"/>
                <w:color w:val="000000"/>
                <w:sz w:val="24"/>
                <w:highlight w:val="none"/>
              </w:rPr>
              <w:t>分）</w:t>
            </w:r>
          </w:p>
          <w:p>
            <w:pPr>
              <w:numPr>
                <w:ilvl w:val="0"/>
                <w:numId w:val="0"/>
              </w:numPr>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省级课题结项</w:t>
            </w:r>
            <w:r>
              <w:rPr>
                <w:rFonts w:hint="eastAsia" w:ascii="仿宋_GB2312" w:hAnsi="仿宋_GB2312" w:eastAsia="仿宋_GB2312" w:cs="仿宋_GB2312"/>
                <w:color w:val="000000"/>
                <w:sz w:val="24"/>
                <w:highlight w:val="none"/>
                <w:lang w:val="en-US" w:eastAsia="zh-CN"/>
              </w:rPr>
              <w:t>;</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分）</w:t>
            </w:r>
          </w:p>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sz w:val="24"/>
                <w:highlight w:val="none"/>
                <w:lang w:val="en-US" w:eastAsia="zh-CN"/>
              </w:rPr>
              <w:t>3.</w:t>
            </w:r>
            <w:r>
              <w:rPr>
                <w:rFonts w:hint="eastAsia" w:ascii="仿宋_GB2312" w:hAnsi="仿宋_GB2312" w:eastAsia="仿宋_GB2312" w:cs="仿宋_GB2312"/>
                <w:color w:val="000000"/>
                <w:sz w:val="24"/>
                <w:highlight w:val="none"/>
              </w:rPr>
              <w:t>国家级课题结项</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5</w:t>
            </w:r>
            <w:r>
              <w:rPr>
                <w:rFonts w:hint="eastAsia" w:ascii="仿宋_GB2312" w:hAnsi="仿宋_GB2312" w:eastAsia="仿宋_GB2312" w:cs="仿宋_GB2312"/>
                <w:color w:val="000000"/>
                <w:sz w:val="24"/>
                <w:highlight w:val="none"/>
              </w:rPr>
              <w:t>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52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论文</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（5分）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1"/>
              </w:numPr>
              <w:ind w:left="0" w:leftChars="0" w:firstLine="0" w:firstLineChars="0"/>
              <w:jc w:val="left"/>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省级期刊1篇;（1</w:t>
            </w:r>
            <w:r>
              <w:rPr>
                <w:rFonts w:hint="eastAsia" w:ascii="仿宋_GB2312" w:hAnsi="仿宋_GB2312" w:eastAsia="仿宋_GB2312" w:cs="仿宋_GB2312"/>
                <w:color w:val="000000"/>
                <w:sz w:val="24"/>
                <w:highlight w:val="none"/>
              </w:rPr>
              <w:t>分）</w:t>
            </w:r>
          </w:p>
          <w:p>
            <w:pPr>
              <w:numPr>
                <w:ilvl w:val="0"/>
                <w:numId w:val="1"/>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sz w:val="24"/>
                <w:highlight w:val="none"/>
                <w:lang w:val="en-US" w:eastAsia="zh-CN"/>
              </w:rPr>
              <w:t>核心期刊1篇;（3</w:t>
            </w:r>
            <w:r>
              <w:rPr>
                <w:rFonts w:hint="eastAsia" w:ascii="仿宋_GB2312" w:hAnsi="仿宋_GB2312" w:eastAsia="仿宋_GB2312" w:cs="仿宋_GB2312"/>
                <w:color w:val="000000"/>
                <w:sz w:val="24"/>
                <w:highlight w:val="none"/>
              </w:rPr>
              <w:t>分）</w:t>
            </w:r>
          </w:p>
          <w:p>
            <w:pPr>
              <w:numPr>
                <w:ilvl w:val="0"/>
                <w:numId w:val="1"/>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sz w:val="24"/>
                <w:highlight w:val="none"/>
                <w:lang w:val="en-US" w:eastAsia="zh-CN"/>
              </w:rPr>
              <w:t>cssci、sci或三报一刊级别1篇。</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5</w:t>
            </w:r>
            <w:r>
              <w:rPr>
                <w:rFonts w:hint="eastAsia" w:ascii="仿宋_GB2312" w:hAnsi="仿宋_GB2312" w:eastAsia="仿宋_GB2312" w:cs="仿宋_GB2312"/>
                <w:color w:val="000000"/>
                <w:sz w:val="24"/>
                <w:highlight w:val="none"/>
              </w:rPr>
              <w:t>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2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专著</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（5分）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由学校认定并出版一部。（2分）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bl>
    <w:p>
      <w:pPr>
        <w:keepNext w:val="0"/>
        <w:keepLines w:val="0"/>
        <w:widowControl/>
        <w:suppressLineNumbers w:val="0"/>
        <w:jc w:val="center"/>
        <w:rPr>
          <w:rFonts w:hint="eastAsia" w:ascii="华文中宋" w:hAnsi="华文中宋" w:eastAsia="华文中宋" w:cs="华文中宋"/>
          <w:color w:val="000000"/>
          <w:kern w:val="0"/>
          <w:sz w:val="43"/>
          <w:szCs w:val="43"/>
          <w:highlight w:val="none"/>
          <w:lang w:val="en-US" w:eastAsia="zh-CN" w:bidi="ar"/>
        </w:rPr>
      </w:pPr>
    </w:p>
    <w:p>
      <w:pPr>
        <w:keepNext w:val="0"/>
        <w:keepLines w:val="0"/>
        <w:widowControl/>
        <w:suppressLineNumbers w:val="0"/>
        <w:jc w:val="center"/>
        <w:rPr>
          <w:rFonts w:hint="eastAsia" w:ascii="华文中宋" w:hAnsi="华文中宋" w:eastAsia="华文中宋" w:cs="华文中宋"/>
          <w:color w:val="000000"/>
          <w:kern w:val="0"/>
          <w:sz w:val="43"/>
          <w:szCs w:val="43"/>
          <w:highlight w:val="none"/>
          <w:lang w:val="en-US" w:eastAsia="zh-CN" w:bidi="ar"/>
        </w:rPr>
      </w:pPr>
    </w:p>
    <w:p>
      <w:pPr>
        <w:keepNext w:val="0"/>
        <w:keepLines w:val="0"/>
        <w:widowControl/>
        <w:suppressLineNumbers w:val="0"/>
        <w:jc w:val="center"/>
        <w:rPr>
          <w:rFonts w:hint="eastAsia" w:ascii="华文中宋" w:hAnsi="华文中宋" w:eastAsia="华文中宋" w:cs="华文中宋"/>
          <w:color w:val="000000"/>
          <w:kern w:val="0"/>
          <w:sz w:val="43"/>
          <w:szCs w:val="43"/>
          <w:highlight w:val="none"/>
          <w:lang w:val="en-US" w:eastAsia="zh-CN" w:bidi="ar"/>
        </w:rPr>
      </w:pPr>
    </w:p>
    <w:p>
      <w:pPr>
        <w:keepNext w:val="0"/>
        <w:keepLines w:val="0"/>
        <w:widowControl/>
        <w:suppressLineNumbers w:val="0"/>
        <w:jc w:val="center"/>
        <w:rPr>
          <w:rFonts w:hint="eastAsia" w:ascii="华文中宋" w:hAnsi="华文中宋" w:eastAsia="华文中宋" w:cs="华文中宋"/>
          <w:color w:val="000000"/>
          <w:kern w:val="0"/>
          <w:sz w:val="43"/>
          <w:szCs w:val="43"/>
          <w:highlight w:val="none"/>
          <w:lang w:val="en-US" w:eastAsia="zh-CN" w:bidi="ar"/>
        </w:rPr>
      </w:pPr>
    </w:p>
    <w:p>
      <w:pPr>
        <w:keepNext w:val="0"/>
        <w:keepLines w:val="0"/>
        <w:widowControl/>
        <w:suppressLineNumbers w:val="0"/>
        <w:jc w:val="both"/>
        <w:rPr>
          <w:rFonts w:hint="eastAsia" w:ascii="华文中宋" w:hAnsi="华文中宋" w:eastAsia="华文中宋" w:cs="华文中宋"/>
          <w:color w:val="000000"/>
          <w:kern w:val="0"/>
          <w:sz w:val="43"/>
          <w:szCs w:val="43"/>
          <w:highlight w:val="none"/>
          <w:lang w:val="en-US" w:eastAsia="zh-CN" w:bidi="ar"/>
        </w:rPr>
      </w:pPr>
    </w:p>
    <w:p>
      <w:pPr>
        <w:keepNext w:val="0"/>
        <w:keepLines w:val="0"/>
        <w:widowControl/>
        <w:suppressLineNumbers w:val="0"/>
        <w:jc w:val="center"/>
        <w:rPr>
          <w:rFonts w:hint="eastAsia" w:ascii="华文中宋" w:hAnsi="华文中宋" w:eastAsia="华文中宋" w:cs="华文中宋"/>
          <w:color w:val="000000"/>
          <w:kern w:val="0"/>
          <w:sz w:val="43"/>
          <w:szCs w:val="43"/>
          <w:highlight w:val="none"/>
          <w:lang w:val="en-US" w:eastAsia="zh-CN" w:bidi="ar"/>
        </w:rPr>
      </w:pPr>
    </w:p>
    <w:p>
      <w:pPr>
        <w:keepNext w:val="0"/>
        <w:keepLines w:val="0"/>
        <w:widowControl/>
        <w:suppressLineNumbers w:val="0"/>
        <w:jc w:val="center"/>
        <w:rPr>
          <w:rFonts w:hint="eastAsia" w:ascii="华文中宋" w:hAnsi="华文中宋" w:eastAsia="华文中宋" w:cs="华文中宋"/>
          <w:color w:val="000000"/>
          <w:kern w:val="0"/>
          <w:sz w:val="43"/>
          <w:szCs w:val="43"/>
          <w:highlight w:val="none"/>
          <w:lang w:val="en-US" w:eastAsia="zh-CN" w:bidi="ar"/>
        </w:rPr>
      </w:pPr>
      <w:r>
        <w:rPr>
          <w:rFonts w:hint="eastAsia" w:ascii="方正小标宋_GBK" w:hAnsi="方正小标宋_GBK" w:eastAsia="方正小标宋_GBK" w:cs="方正小标宋_GBK"/>
          <w:b w:val="0"/>
          <w:bCs w:val="0"/>
          <w:sz w:val="44"/>
          <w:szCs w:val="44"/>
          <w:lang w:val="en-US" w:eastAsia="zh-CN"/>
        </w:rPr>
        <w:t>教学部2024年绩效考核业务性指标（公共课部）</w:t>
      </w:r>
    </w:p>
    <w:tbl>
      <w:tblPr>
        <w:tblStyle w:val="4"/>
        <w:tblW w:w="13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910"/>
        <w:gridCol w:w="8184"/>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21"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考核内容</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考核要点</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考核标准</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考核牵头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0" w:hRule="atLeast"/>
          <w:jc w:val="center"/>
        </w:trPr>
        <w:tc>
          <w:tcPr>
            <w:tcW w:w="1521"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sz w:val="24"/>
                <w:highlight w:val="none"/>
                <w:lang w:val="en-US" w:eastAsia="zh-CN"/>
              </w:rPr>
              <w:t>1.教学工作（30分）</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教学任务</w:t>
            </w:r>
          </w:p>
          <w:p>
            <w:pPr>
              <w:jc w:val="center"/>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sz w:val="24"/>
                <w:highlight w:val="none"/>
                <w:lang w:val="en-US" w:eastAsia="zh-CN"/>
              </w:rPr>
              <w:t>（10分）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sz w:val="24"/>
                <w:highlight w:val="none"/>
                <w:lang w:val="en-US" w:eastAsia="zh-CN"/>
              </w:rPr>
              <w:t>1.按照人才培养方案拟定教学大纲，课程标准，授课计划以及教案，严格按标准执行教学；（2分）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2.教学计划安排规范有序，做好教务系统数据维护工作；（1分）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3.教研室定期组织教研活动，每学期不少于5次，集体备课不少于3次；（2分）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4.重视教学检查，各阶段教学检查材料完备，全年无教学事故；（1分）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5.严格控制调课次数，全年不能超过8次（因学校统一活动的调课情况除外）；（1分）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6.部门主任按要求听课，督促教学，听课范围全覆盖，保证每学期听课记录不少于6位教师。其中兼职教师听课记录不少于总数的30％；（1分）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7.按时提交教师课时统计表，保证提交数据准确；（1分）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8.按照教学计划提交考试方案，按系统排考执行考试，严肃考场纪律。按时提交成绩（含补考成绩），确保成绩准确。（1分）</w:t>
            </w:r>
          </w:p>
        </w:tc>
        <w:tc>
          <w:tcPr>
            <w:tcW w:w="1626" w:type="dxa"/>
            <w:vMerge w:val="restart"/>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1521" w:type="dxa"/>
            <w:vMerge w:val="continue"/>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兼职教师管理</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1.有符合学校发展的兼职教师队伍；（0.5分）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2.承担教学工作，参与学校专业建设，课程建；（0.5分）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3.兼职教师队伍中有大师名匠。（1分）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1521" w:type="dxa"/>
            <w:vMerge w:val="continue"/>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教师比赛</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（最高4分）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1.国家级教学能力大赛一等奖（4分），国家级教学能力大赛二等奖（3.2分），国家级教学能力大赛三等；（2.4分）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2.省级教学能力大赛一等奖（2分），省级教学能力大赛二等奖（1.6分），省级教学能力大赛三等奖；（1.2分）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3.校级教学能力大赛一等奖。（1分）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（其他类比赛参照教学能力大赛相应等级执行）</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1521" w:type="dxa"/>
            <w:vMerge w:val="continue"/>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学生比赛</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（最高4分）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1.国家级比赛一等奖（4分），国家级比赛二等奖（3.2分），国家级比赛三等奖；（2.4分）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2.省级比赛一等奖（2分），省级比赛二等奖（1.6分），省级比赛三等奖；（1.2分）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3.市级比赛一等奖（1分），市级比赛二等奖（0.8分），市级比赛三等奖。（0.6分）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1521" w:type="dxa"/>
            <w:vMerge w:val="continue"/>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教学资源库建设（最高3分）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1.国家级教学资源库建设；（3分）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2.省级教学资源库建设；（2.4分）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3.校级教学资源库建设。（1.8分）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521" w:type="dxa"/>
            <w:vMerge w:val="continue"/>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教学团队建设（最高3分）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1.国家级杰出教师（；3分）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2.省级及以上教学团队、名师；（2.4分）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3.市级教学团队、名师等荣誉；（1.8分）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4.校级教师团队。(1.5分）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1521" w:type="dxa"/>
            <w:vMerge w:val="continue"/>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影响力与实践活动</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（最高4分）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1.组织或协助完成教育部、教育厅、学校下发的相关工作任务；（1.5分）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2.开展多样化的实践教学（组织或参加美育类、竞技类的比赛）；（1.5分）</w:t>
            </w:r>
            <w:r>
              <w:rPr>
                <w:rFonts w:hint="eastAsia" w:ascii="仿宋_GB2312" w:hAnsi="仿宋_GB2312" w:eastAsia="仿宋_GB2312" w:cs="仿宋_GB2312"/>
                <w:sz w:val="24"/>
                <w:highlight w:val="none"/>
                <w:lang w:val="en-US" w:eastAsia="zh-CN"/>
              </w:rPr>
              <w:br w:type="textWrapping"/>
            </w:r>
            <w:r>
              <w:rPr>
                <w:rFonts w:hint="eastAsia" w:ascii="仿宋_GB2312" w:hAnsi="仿宋_GB2312" w:eastAsia="仿宋_GB2312" w:cs="仿宋_GB2312"/>
                <w:sz w:val="24"/>
                <w:highlight w:val="none"/>
                <w:lang w:val="en-US" w:eastAsia="zh-CN"/>
              </w:rPr>
              <w:t>3.在国家或省召开的重要会议上作典型发言、典型的经验做法在全国或省进行推广、主持或参与国家教学（专业）标准开发。（1分）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1521" w:type="dxa"/>
            <w:vMerge w:val="restart"/>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b/>
                <w:bCs/>
                <w:sz w:val="24"/>
                <w:highlight w:val="none"/>
                <w:lang w:val="en-US" w:eastAsia="zh-CN"/>
              </w:rPr>
            </w:pPr>
          </w:p>
          <w:p>
            <w:pPr>
              <w:jc w:val="center"/>
              <w:rPr>
                <w:rFonts w:hint="eastAsia" w:ascii="仿宋_GB2312" w:hAnsi="仿宋_GB2312" w:eastAsia="仿宋_GB2312" w:cs="仿宋_GB2312"/>
                <w:b/>
                <w:bCs/>
                <w:sz w:val="24"/>
                <w:highlight w:val="none"/>
                <w:lang w:val="en-US" w:eastAsia="zh-CN"/>
              </w:rPr>
            </w:pPr>
          </w:p>
          <w:p>
            <w:pPr>
              <w:numPr>
                <w:ilvl w:val="0"/>
                <w:numId w:val="0"/>
              </w:num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2.产学合作工作</w:t>
            </w:r>
          </w:p>
          <w:p>
            <w:pPr>
              <w:numPr>
                <w:ilvl w:val="0"/>
                <w:numId w:val="0"/>
              </w:numPr>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（20分）</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线上课程</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1.建立并运行1门课程（1分）;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2.建设完成并运行使用并获得省级精品课认定（3分）;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3.建设完成并运行使用并获得国家级精品课认定。（5分）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1" w:type="dxa"/>
            <w:vMerge w:val="continue"/>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纵向课题</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1.市级课题结项;（1分）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2.省级课题结项;（2分）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3.国家级课题结项。（5分）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1521" w:type="dxa"/>
            <w:vMerge w:val="continue"/>
            <w:tcBorders>
              <w:left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论文</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1.省级期刊1（篇1分）;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2.核心期刊1篇（3分）;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3.cssci、sci或三报一刊级别1篇。（5分）</w:t>
            </w:r>
          </w:p>
        </w:tc>
        <w:tc>
          <w:tcPr>
            <w:tcW w:w="1626"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521" w:type="dxa"/>
            <w:vMerge w:val="continue"/>
            <w:tcBorders>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学术专著</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（5分）</w:t>
            </w:r>
          </w:p>
        </w:tc>
        <w:tc>
          <w:tcPr>
            <w:tcW w:w="81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由学校认定并出版一部。（3分）</w:t>
            </w:r>
          </w:p>
        </w:tc>
        <w:tc>
          <w:tcPr>
            <w:tcW w:w="1626" w:type="dxa"/>
            <w:vMerge w:val="continue"/>
            <w:tcBorders>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211A0D-C709-4A73-A674-5A3DB1B080CE}"/>
  </w:font>
  <w:font w:name="华文中宋">
    <w:panose1 w:val="02010600040101010101"/>
    <w:charset w:val="86"/>
    <w:family w:val="auto"/>
    <w:pitch w:val="default"/>
    <w:sig w:usb0="00000287" w:usb1="080F0000" w:usb2="00000000" w:usb3="00000000" w:csb0="0004009F" w:csb1="DFD70000"/>
    <w:embedRegular r:id="rId2" w:fontKey="{7C4960DE-1ED4-4455-8984-222F3F1A2B0F}"/>
  </w:font>
  <w:font w:name="方正小标宋_GBK">
    <w:panose1 w:val="02000000000000000000"/>
    <w:charset w:val="86"/>
    <w:family w:val="auto"/>
    <w:pitch w:val="default"/>
    <w:sig w:usb0="A00002BF" w:usb1="38CF7CFA" w:usb2="00082016" w:usb3="00000000" w:csb0="00040001" w:csb1="00000000"/>
    <w:embedRegular r:id="rId3" w:fontKey="{3A3B357F-D5D0-49B3-90B9-85EB37A40BB8}"/>
  </w:font>
  <w:font w:name="仿宋_GB2312">
    <w:altName w:val="仿宋"/>
    <w:panose1 w:val="02010609030101010101"/>
    <w:charset w:val="86"/>
    <w:family w:val="auto"/>
    <w:pitch w:val="default"/>
    <w:sig w:usb0="00000000" w:usb1="00000000" w:usb2="00000000" w:usb3="00000000" w:csb0="00040000" w:csb1="00000000"/>
    <w:embedRegular r:id="rId4" w:fontKey="{48577457-42BF-4A03-9076-A76DB8814B63}"/>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E62D1"/>
    <w:multiLevelType w:val="singleLevel"/>
    <w:tmpl w:val="05AE62D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GNmNDNjYmM4OWVjMTk0YzA4OWMwYmE5ZDQ3MDUifQ=="/>
  </w:docVars>
  <w:rsids>
    <w:rsidRoot w:val="17411623"/>
    <w:rsid w:val="1741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200" w:firstLineChars="200"/>
    </w:pPr>
    <w:rPr>
      <w:szCs w:val="24"/>
    </w:rPr>
  </w:style>
  <w:style w:type="paragraph" w:styleId="3">
    <w:name w:val="Body Text Indent"/>
    <w:basedOn w:val="1"/>
    <w:next w:val="1"/>
    <w:qFormat/>
    <w:uiPriority w:val="0"/>
    <w:pPr>
      <w:spacing w:line="300" w:lineRule="auto"/>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2024-06-06T09:11:00Z</dcterms:created>
  <dc:creator>工艺美院王迪</dc:creator>
  <cp:lastModifiedBy>工艺美院王迪</cp:lastModifiedBy>
  <dcterms:modified xsi:type="dcterms:W3CDTF">2024-06-06T09:12:21Z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3C51C09AB4E14450B28BB96ACCF54C21_11</vt:lpwstr>
  </property>
</Properties>
</file>